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F7A72"/>
          <w:sz w:val="26"/>
        </w:rPr>
        <w:t>SkillsAlign Consulting</w:t>
      </w:r>
    </w:p>
    <w:p>
      <w:pPr>
        <w:spacing w:after="40"/>
      </w:pPr>
      <w:r>
        <w:rPr>
          <w:b/>
          <w:color w:val="14283C"/>
          <w:sz w:val="52"/>
        </w:rPr>
        <w:t>COMPLIANCE GAP AUDIT</w:t>
      </w:r>
    </w:p>
    <w:p>
      <w:pPr>
        <w:spacing w:after="200"/>
        <w:pBdr>
          <w:bottom w:val="single" w:sz="6" w:space="2" w:color="BFBFBF"/>
        </w:pBdr>
      </w:pPr>
      <w:r>
        <w:rPr>
          <w:color w:val="595959"/>
          <w:sz w:val="26"/>
        </w:rPr>
        <w:t>Findings report and prioritised remediation plan</w:t>
      </w:r>
    </w:p>
    <w:p>
      <w:pPr>
        <w:spacing w:after="280"/>
        <w:shd w:val="clear" w:color="auto" w:fill="FDF2F2"/>
      </w:pPr>
      <w:r>
        <w:rPr>
          <w:b/>
          <w:color w:val="C00000"/>
          <w:sz w:val="19"/>
        </w:rPr>
        <w:t xml:space="preserve">SAMPLE DOCUMENT. Illustrative only.  </w:t>
      </w:r>
      <w:r>
        <w:rPr>
          <w:color w:val="595959"/>
          <w:sz w:val="19"/>
        </w:rPr>
        <w:t>Prepared to demonstrate report format, depth and tone. The RTO, qualifications, dates and findings are fictional. No client information appears in this document.</w:t>
      </w:r>
    </w:p>
    <w:tbl>
      <w:tblPr>
        <w:tblStyle w:val="TableGrid"/>
        <w:tblW w:type="auto" w:w="0"/>
        <w:jc w:val="left"/>
        <w:tblLook w:firstColumn="1" w:firstRow="1" w:lastColumn="0" w:lastRow="0" w:noHBand="0" w:noVBand="1" w:val="04A0"/>
      </w:tblPr>
      <w:tblGrid>
        <w:gridCol w:w="5040"/>
        <w:gridCol w:w="5040"/>
      </w:tblGrid>
      <w:tr>
        <w:tc>
          <w:tcPr>
            <w:tcW w:type="dxa" w:w="2160"/>
            <w:shd w:val="clear" w:color="auto" w:fill="F2F5FA"/>
          </w:tcPr>
          <w:p>
            <w:r/>
            <w:r>
              <w:rPr>
                <w:b/>
                <w:sz w:val="19"/>
              </w:rPr>
              <w:t>Client</w:t>
            </w:r>
          </w:p>
        </w:tc>
        <w:tc>
          <w:tcPr>
            <w:tcW w:type="dxa" w:w="7776"/>
          </w:tcPr>
          <w:p>
            <w:r/>
            <w:r>
              <w:rPr>
                <w:sz w:val="19"/>
              </w:rPr>
              <w:t>Meridian Care Training (fictional), RTO #00000</w:t>
            </w:r>
          </w:p>
        </w:tc>
      </w:tr>
      <w:tr>
        <w:tc>
          <w:tcPr>
            <w:tcW w:type="dxa" w:w="2160"/>
            <w:shd w:val="clear" w:color="auto" w:fill="F2F5FA"/>
          </w:tcPr>
          <w:p>
            <w:r/>
            <w:r>
              <w:rPr>
                <w:b/>
                <w:sz w:val="19"/>
              </w:rPr>
              <w:t>Scope of review</w:t>
            </w:r>
          </w:p>
        </w:tc>
        <w:tc>
          <w:tcPr>
            <w:tcW w:type="dxa" w:w="7776"/>
          </w:tcPr>
          <w:p>
            <w:r/>
            <w:r>
              <w:rPr>
                <w:sz w:val="19"/>
              </w:rPr>
              <w:t>CHC33021 Certificate III in Individual Support (Ageing); CHC43015 Certificate IV in Ageing Support</w:t>
            </w:r>
          </w:p>
        </w:tc>
      </w:tr>
      <w:tr>
        <w:tc>
          <w:tcPr>
            <w:tcW w:type="dxa" w:w="2160"/>
            <w:shd w:val="clear" w:color="auto" w:fill="F2F5FA"/>
          </w:tcPr>
          <w:p>
            <w:r/>
            <w:r>
              <w:rPr>
                <w:b/>
                <w:sz w:val="19"/>
              </w:rPr>
              <w:t>Standards applied</w:t>
            </w:r>
          </w:p>
        </w:tc>
        <w:tc>
          <w:tcPr>
            <w:tcW w:type="dxa" w:w="7776"/>
          </w:tcPr>
          <w:p>
            <w:r/>
            <w:r>
              <w:rPr>
                <w:sz w:val="19"/>
              </w:rPr>
              <w:t>Standards for Registered Training Organisations (2025)</w:t>
            </w:r>
          </w:p>
        </w:tc>
      </w:tr>
      <w:tr>
        <w:tc>
          <w:tcPr>
            <w:tcW w:type="dxa" w:w="2160"/>
            <w:shd w:val="clear" w:color="auto" w:fill="F2F5FA"/>
          </w:tcPr>
          <w:p>
            <w:r/>
            <w:r>
              <w:rPr>
                <w:b/>
                <w:sz w:val="19"/>
              </w:rPr>
              <w:t>Review period</w:t>
            </w:r>
          </w:p>
        </w:tc>
        <w:tc>
          <w:tcPr>
            <w:tcW w:type="dxa" w:w="7776"/>
          </w:tcPr>
          <w:p>
            <w:r/>
            <w:r>
              <w:rPr>
                <w:sz w:val="19"/>
              </w:rPr>
              <w:t>Enrolments and assessment evidence, 1 Jan 2025 to 31 Mar 2026</w:t>
            </w:r>
          </w:p>
        </w:tc>
      </w:tr>
      <w:tr>
        <w:tc>
          <w:tcPr>
            <w:tcW w:type="dxa" w:w="2160"/>
            <w:shd w:val="clear" w:color="auto" w:fill="F2F5FA"/>
          </w:tcPr>
          <w:p>
            <w:r/>
            <w:r>
              <w:rPr>
                <w:b/>
                <w:sz w:val="19"/>
              </w:rPr>
              <w:t>Method</w:t>
            </w:r>
          </w:p>
        </w:tc>
        <w:tc>
          <w:tcPr>
            <w:tcW w:type="dxa" w:w="7776"/>
          </w:tcPr>
          <w:p>
            <w:r/>
            <w:r>
              <w:rPr>
                <w:sz w:val="19"/>
              </w:rPr>
              <w:t>Document review; sampling of 24 completed student files; trainer file review; interviews with Training Manager and two trainers</w:t>
            </w:r>
          </w:p>
        </w:tc>
      </w:tr>
      <w:tr>
        <w:tc>
          <w:tcPr>
            <w:tcW w:type="dxa" w:w="2160"/>
            <w:shd w:val="clear" w:color="auto" w:fill="F2F5FA"/>
          </w:tcPr>
          <w:p>
            <w:r/>
            <w:r>
              <w:rPr>
                <w:b/>
                <w:sz w:val="19"/>
              </w:rPr>
              <w:t>Prepared by</w:t>
            </w:r>
          </w:p>
        </w:tc>
        <w:tc>
          <w:tcPr>
            <w:tcW w:type="dxa" w:w="7776"/>
          </w:tcPr>
          <w:p>
            <w:r/>
            <w:r>
              <w:rPr>
                <w:sz w:val="19"/>
              </w:rPr>
              <w:t>Mohit Sharma, SkillsAlign Consulting · ABN 18 851 604 962</w:t>
            </w:r>
          </w:p>
        </w:tc>
      </w:tr>
    </w:tbl>
    <w:p>
      <w:pPr>
        <w:spacing w:before="280" w:after="100"/>
        <w:pBdr>
          <w:bottom w:val="single" w:sz="6" w:space="2" w:color="14283C"/>
        </w:pBdr>
      </w:pPr>
      <w:r>
        <w:rPr>
          <w:b/>
          <w:color w:val="14283C"/>
          <w:sz w:val="22"/>
        </w:rPr>
        <w:t>1. EXECUTIVE SUMMARY</w:t>
      </w:r>
    </w:p>
    <w:p>
      <w:pPr>
        <w:spacing w:after="100"/>
      </w:pPr>
      <w:r>
        <w:rPr>
          <w:b w:val="0"/>
          <w:i w:val="0"/>
          <w:sz w:val="20"/>
        </w:rPr>
        <w:t>Twelve findings were identified across the two qualifications reviewed. Three are rated High, six Medium and three Low. None of the High findings arise from a lack of capability within the training team; all three are consequences of documentation not keeping pace with delivery practice as the RTO's aged care cohort grew through 2025.</w:t>
      </w:r>
    </w:p>
    <w:p>
      <w:pPr>
        <w:spacing w:after="100"/>
      </w:pPr>
      <w:r>
        <w:rPr>
          <w:b w:val="0"/>
          <w:i w:val="0"/>
          <w:sz w:val="20"/>
        </w:rPr>
        <w:t>The most material exposure is the mapping of CHCAGE011 assessment evidence, where the current tool cannot demonstrate that two performance evidence requirements have been assessed at all. On the sample reviewed, this affects every completed enrolment in the period. If tested at audit, this is the finding most likely to result in a rectification requirement.</w:t>
      </w:r>
    </w:p>
    <w:p>
      <w:pPr>
        <w:spacing w:after="100"/>
      </w:pPr>
      <w:r>
        <w:rPr>
          <w:b w:val="0"/>
          <w:i w:val="0"/>
          <w:sz w:val="20"/>
        </w:rPr>
        <w:t>The remediation plan at Section 5 sequences all twelve findings across an eight-week window, with the three High findings closed in the first fortnight. Nothing in this report requires additional staff. It requires decisions about which documents become the single source of truth, and one person to be accountable for them.</w:t>
      </w:r>
    </w:p>
    <w:p>
      <w:pPr>
        <w:spacing w:before="200" w:after="60"/>
      </w:pPr>
      <w:r>
        <w:rPr>
          <w:b/>
          <w:color w:val="14283C"/>
          <w:sz w:val="21"/>
        </w:rPr>
        <w:t>Findings at a glance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4283C"/>
          </w:tcPr>
          <w:p>
            <w:r/>
            <w:r>
              <w:rPr>
                <w:b/>
                <w:color w:val="FFFFFF"/>
                <w:sz w:val="19"/>
              </w:rPr>
              <w:t>Risk rating</w:t>
            </w:r>
          </w:p>
        </w:tc>
        <w:tc>
          <w:tcPr>
            <w:tcW w:type="dxa" w:w="2520"/>
            <w:shd w:val="clear" w:color="auto" w:fill="14283C"/>
          </w:tcPr>
          <w:p>
            <w:r/>
            <w:r>
              <w:rPr>
                <w:b/>
                <w:color w:val="FFFFFF"/>
                <w:sz w:val="19"/>
              </w:rPr>
              <w:t>Count</w:t>
            </w:r>
          </w:p>
        </w:tc>
        <w:tc>
          <w:tcPr>
            <w:tcW w:type="dxa" w:w="2520"/>
            <w:shd w:val="clear" w:color="auto" w:fill="14283C"/>
          </w:tcPr>
          <w:p>
            <w:r/>
            <w:r>
              <w:rPr>
                <w:b/>
                <w:color w:val="FFFFFF"/>
                <w:sz w:val="19"/>
              </w:rPr>
              <w:t>Clause areas affected</w:t>
            </w:r>
          </w:p>
        </w:tc>
        <w:tc>
          <w:tcPr>
            <w:tcW w:type="dxa" w:w="2520"/>
            <w:shd w:val="clear" w:color="auto" w:fill="14283C"/>
          </w:tcPr>
          <w:p>
            <w:r/>
            <w:r>
              <w:rPr>
                <w:b/>
                <w:color w:val="FFFFFF"/>
                <w:sz w:val="19"/>
              </w:rPr>
              <w:t>Target closure</w:t>
            </w:r>
          </w:p>
        </w:tc>
      </w:tr>
      <w:tr>
        <w:tc>
          <w:tcPr>
            <w:tcW w:type="dxa" w:w="2520"/>
          </w:tcPr>
          <w:p>
            <w:r/>
            <w:r>
              <w:rPr>
                <w:b/>
                <w:color w:val="C00000"/>
                <w:sz w:val="19"/>
              </w:rPr>
              <w:t>High</w:t>
            </w:r>
          </w:p>
        </w:tc>
        <w:tc>
          <w:tcPr>
            <w:tcW w:type="dxa" w:w="2520"/>
          </w:tcPr>
          <w:p>
            <w:r/>
            <w:r>
              <w:rPr>
                <w:sz w:val="19"/>
              </w:rPr>
              <w:t>3</w:t>
            </w:r>
          </w:p>
        </w:tc>
        <w:tc>
          <w:tcPr>
            <w:tcW w:type="dxa" w:w="2520"/>
          </w:tcPr>
          <w:p>
            <w:r/>
            <w:r>
              <w:rPr>
                <w:sz w:val="19"/>
              </w:rPr>
              <w:t>Assessment practice; trainer credentials</w:t>
            </w:r>
          </w:p>
        </w:tc>
        <w:tc>
          <w:tcPr>
            <w:tcW w:type="dxa" w:w="2520"/>
          </w:tcPr>
          <w:p>
            <w:r/>
            <w:r>
              <w:rPr>
                <w:sz w:val="19"/>
              </w:rPr>
              <w:t>Week 2</w:t>
            </w:r>
          </w:p>
        </w:tc>
      </w:tr>
      <w:tr>
        <w:tc>
          <w:tcPr>
            <w:tcW w:type="dxa" w:w="2520"/>
          </w:tcPr>
          <w:p>
            <w:r/>
            <w:r>
              <w:rPr>
                <w:b/>
                <w:color w:val="BF8F00"/>
                <w:sz w:val="19"/>
              </w:rPr>
              <w:t>Medium</w:t>
            </w:r>
          </w:p>
        </w:tc>
        <w:tc>
          <w:tcPr>
            <w:tcW w:type="dxa" w:w="2520"/>
          </w:tcPr>
          <w:p>
            <w:r/>
            <w:r>
              <w:rPr>
                <w:sz w:val="19"/>
              </w:rPr>
              <w:t>6</w:t>
            </w:r>
          </w:p>
        </w:tc>
        <w:tc>
          <w:tcPr>
            <w:tcW w:type="dxa" w:w="2520"/>
          </w:tcPr>
          <w:p>
            <w:r/>
            <w:r>
              <w:rPr>
                <w:sz w:val="19"/>
              </w:rPr>
              <w:t>TAS currency; industry engagement; student records</w:t>
            </w:r>
          </w:p>
        </w:tc>
        <w:tc>
          <w:tcPr>
            <w:tcW w:type="dxa" w:w="2520"/>
          </w:tcPr>
          <w:p>
            <w:r/>
            <w:r>
              <w:rPr>
                <w:sz w:val="19"/>
              </w:rPr>
              <w:t>Week 6</w:t>
            </w:r>
          </w:p>
        </w:tc>
      </w:tr>
      <w:tr>
        <w:tc>
          <w:tcPr>
            <w:tcW w:type="dxa" w:w="2520"/>
          </w:tcPr>
          <w:p>
            <w:r/>
            <w:r>
              <w:rPr>
                <w:b/>
                <w:color w:val="2E7D32"/>
                <w:sz w:val="19"/>
              </w:rPr>
              <w:t>Low</w:t>
            </w:r>
          </w:p>
        </w:tc>
        <w:tc>
          <w:tcPr>
            <w:tcW w:type="dxa" w:w="2520"/>
          </w:tcPr>
          <w:p>
            <w:r/>
            <w:r>
              <w:rPr>
                <w:sz w:val="19"/>
              </w:rPr>
              <w:t>3</w:t>
            </w:r>
          </w:p>
        </w:tc>
        <w:tc>
          <w:tcPr>
            <w:tcW w:type="dxa" w:w="2520"/>
          </w:tcPr>
          <w:p>
            <w:r/>
            <w:r>
              <w:rPr>
                <w:sz w:val="19"/>
              </w:rPr>
              <w:t>Version control; marketing claims</w:t>
            </w:r>
          </w:p>
        </w:tc>
        <w:tc>
          <w:tcPr>
            <w:tcW w:type="dxa" w:w="2520"/>
          </w:tcPr>
          <w:p>
            <w:r/>
            <w:r>
              <w:rPr>
                <w:sz w:val="19"/>
              </w:rPr>
              <w:t>Week 8</w:t>
            </w:r>
          </w:p>
        </w:tc>
      </w:tr>
    </w:tbl>
    <w:p>
      <w:pPr>
        <w:spacing w:before="280" w:after="100"/>
        <w:pBdr>
          <w:bottom w:val="single" w:sz="6" w:space="2" w:color="14283C"/>
        </w:pBdr>
      </w:pPr>
      <w:r>
        <w:rPr>
          <w:b/>
          <w:color w:val="14283C"/>
          <w:sz w:val="22"/>
        </w:rPr>
        <w:t>2. HOW TO READ THIS REPORT</w:t>
      </w:r>
    </w:p>
    <w:p>
      <w:pPr>
        <w:spacing w:after="100"/>
      </w:pPr>
      <w:r>
        <w:rPr>
          <w:b w:val="0"/>
          <w:i w:val="0"/>
          <w:sz w:val="20"/>
        </w:rPr>
        <w:t>Each finding states what was observed, why it matters against the Standards, the risk rating, and what closing it requires. Findings are written so the person doing the remediation does not need this report interpreted for them.</w:t>
      </w:r>
    </w:p>
    <w:p>
      <w:pPr>
        <w:pStyle w:val="ListBullet"/>
        <w:spacing w:after="40"/>
        <w:ind w:left="317" w:hanging="202"/>
      </w:pPr>
      <w:r>
        <w:rPr>
          <w:sz w:val="20"/>
        </w:rPr>
        <w:t>HIGH. Would likely result in a finding at audit, or affects the validity of issued qualifications. Close first.</w:t>
      </w:r>
    </w:p>
    <w:p>
      <w:pPr>
        <w:pStyle w:val="ListBullet"/>
        <w:spacing w:after="40"/>
        <w:ind w:left="317" w:hanging="202"/>
      </w:pPr>
      <w:r>
        <w:rPr>
          <w:sz w:val="20"/>
        </w:rPr>
        <w:t>MEDIUM. Creates exposure if sampled, or would require explanation an auditor may not accept. Close within the remediation window.</w:t>
      </w:r>
    </w:p>
    <w:p>
      <w:pPr>
        <w:pStyle w:val="ListBullet"/>
        <w:spacing w:after="40"/>
        <w:ind w:left="317" w:hanging="202"/>
      </w:pPr>
      <w:r>
        <w:rPr>
          <w:sz w:val="20"/>
        </w:rPr>
        <w:t>LOW. Housekeeping, inconsistency, or risk that is currently theoretical. Close when convenient, but do close it.</w:t>
      </w:r>
    </w:p>
    <w:p>
      <w:pPr>
        <w:spacing w:after="100"/>
      </w:pPr>
      <w:r>
        <w:rPr>
          <w:b w:val="0"/>
          <w:i/>
          <w:color w:val="595959"/>
          <w:sz w:val="19"/>
        </w:rPr>
        <w:t>Ratings reflect likelihood of the issue being tested and the consequence if it is. They are my professional judgement and are not a prediction of any regulatory outcome.</w:t>
      </w:r>
    </w:p>
    <w:p>
      <w:pPr>
        <w:spacing w:before="280" w:after="100"/>
        <w:pBdr>
          <w:bottom w:val="single" w:sz="6" w:space="2" w:color="14283C"/>
        </w:pBdr>
      </w:pPr>
      <w:r>
        <w:rPr>
          <w:b/>
          <w:color w:val="14283C"/>
          <w:sz w:val="22"/>
        </w:rPr>
        <w:t>3. DETAILED FINDINGS</w:t>
      </w:r>
    </w:p>
    <w:p>
      <w:pPr>
        <w:spacing w:before="220" w:after="40"/>
      </w:pPr>
      <w:r>
        <w:rPr>
          <w:b/>
          <w:color w:val="14283C"/>
          <w:sz w:val="22"/>
        </w:rPr>
        <w:t xml:space="preserve">F1  </w:t>
      </w:r>
      <w:r>
        <w:rPr>
          <w:b/>
          <w:color w:val="14283C"/>
          <w:sz w:val="22"/>
        </w:rPr>
        <w:t>CHCAGE011 assessment tool does not address two performance evidence requirements</w:t>
      </w:r>
      <w:r>
        <w:rPr>
          <w:b/>
          <w:color w:val="C00000"/>
          <w:sz w:val="19"/>
        </w:rPr>
        <w:t xml:space="preserve">    [HIGH]</w:t>
      </w:r>
    </w:p>
    <w:p>
      <w:pPr>
        <w:spacing w:after="80"/>
      </w:pPr>
      <w:r>
        <w:rPr>
          <w:i/>
          <w:color w:val="595959"/>
          <w:sz w:val="18"/>
        </w:rPr>
        <w:t>Relates to: Assessment practice, sufficiency and validity of evidence</w:t>
      </w:r>
    </w:p>
    <w:p>
      <w:pPr>
        <w:spacing w:after="60"/>
        <w:ind w:left="29"/>
      </w:pPr>
      <w:r>
        <w:rPr>
          <w:b/>
          <w:sz w:val="19"/>
        </w:rPr>
        <w:t xml:space="preserve">Observed: </w:t>
      </w:r>
      <w:r>
        <w:rPr>
          <w:sz w:val="19"/>
        </w:rPr>
        <w:t>The assessment tool for CHCAGE011 contains three tasks. Mapping to the unit shows no task requiring the student to demonstrate providing support to a person experiencing pain, or to report and document changes in the person's condition. The mapping document lists both as 'covered in observation', but the observation checklist contains no corresponding criterion. All 24 sampled files show the tool applied as written.</w:t>
      </w:r>
    </w:p>
    <w:p>
      <w:pPr>
        <w:spacing w:after="60"/>
        <w:ind w:left="29"/>
      </w:pPr>
      <w:r>
        <w:rPr>
          <w:b/>
          <w:sz w:val="19"/>
        </w:rPr>
        <w:t xml:space="preserve">Why it matters: </w:t>
      </w:r>
      <w:r>
        <w:rPr>
          <w:sz w:val="19"/>
        </w:rPr>
        <w:t>The RTO cannot demonstrate that every student assessed as competent in this unit was assessed against the full performance evidence. This goes to the validity of the judgement, not the paperwork around it, which is why it is the highest-rated finding in this report.</w:t>
      </w:r>
    </w:p>
    <w:p>
      <w:pPr>
        <w:spacing w:after="60"/>
        <w:ind w:left="29"/>
      </w:pPr>
      <w:r>
        <w:rPr>
          <w:b/>
          <w:sz w:val="19"/>
        </w:rPr>
        <w:t xml:space="preserve">To close: </w:t>
      </w:r>
      <w:r>
        <w:rPr>
          <w:sz w:val="19"/>
        </w:rPr>
        <w:t>Rewrite the observation checklist to include both requirements with explicit, observable criteria. Re-map and confirm coverage. Then determine, with advice, whether any issued qualifications require action. Do not backdate or amend completed student records.</w:t>
      </w:r>
    </w:p>
    <w:p>
      <w:pPr>
        <w:spacing w:after="40"/>
      </w:pPr>
      <w:r>
        <w:rPr>
          <w:i/>
          <w:color w:val="595959"/>
          <w:sz w:val="18"/>
        </w:rPr>
        <w:t>Estimated effort: Tool rebuild 6 to 8 hours. Decision on issued qualifications is a separate conversation.</w:t>
      </w:r>
    </w:p>
    <w:p>
      <w:pPr>
        <w:spacing w:before="220" w:after="40"/>
      </w:pPr>
      <w:r>
        <w:rPr>
          <w:b/>
          <w:color w:val="14283C"/>
          <w:sz w:val="22"/>
        </w:rPr>
        <w:t xml:space="preserve">F2  </w:t>
      </w:r>
      <w:r>
        <w:rPr>
          <w:b/>
          <w:color w:val="14283C"/>
          <w:sz w:val="22"/>
        </w:rPr>
        <w:t>Two trainers delivering CHC43015 without evidence of current industry skills</w:t>
      </w:r>
      <w:r>
        <w:rPr>
          <w:b/>
          <w:color w:val="C00000"/>
          <w:sz w:val="19"/>
        </w:rPr>
        <w:t xml:space="preserve">    [HIGH]</w:t>
      </w:r>
    </w:p>
    <w:p>
      <w:pPr>
        <w:spacing w:after="80"/>
      </w:pPr>
      <w:r>
        <w:rPr>
          <w:i/>
          <w:color w:val="595959"/>
          <w:sz w:val="18"/>
        </w:rPr>
        <w:t>Relates to: Trainer and assessor credentials and currency</w:t>
      </w:r>
    </w:p>
    <w:p>
      <w:pPr>
        <w:spacing w:after="60"/>
        <w:ind w:left="29"/>
      </w:pPr>
      <w:r>
        <w:rPr>
          <w:b/>
          <w:sz w:val="19"/>
        </w:rPr>
        <w:t xml:space="preserve">Observed: </w:t>
      </w:r>
      <w:r>
        <w:rPr>
          <w:sz w:val="19"/>
        </w:rPr>
        <w:t>Trainer files for two of five staff delivering CHC43015 contain TAE credentials and a résumé, but no evidence of industry engagement or workplace currency after March 2024. One file contains a professional development log with no entries for 2025.</w:t>
      </w:r>
    </w:p>
    <w:p>
      <w:pPr>
        <w:spacing w:after="60"/>
        <w:ind w:left="29"/>
      </w:pPr>
      <w:r>
        <w:rPr>
          <w:b/>
          <w:sz w:val="19"/>
        </w:rPr>
        <w:t xml:space="preserve">Why it matters: </w:t>
      </w:r>
      <w:r>
        <w:rPr>
          <w:sz w:val="19"/>
        </w:rPr>
        <w:t>Currency is not a one-off qualification; it must be demonstrable and current. Trainer files are among the first documents requested at audit, and a gap here casts doubt on delivery across every unit those trainers touch.</w:t>
      </w:r>
    </w:p>
    <w:p>
      <w:pPr>
        <w:spacing w:after="60"/>
        <w:ind w:left="29"/>
      </w:pPr>
      <w:r>
        <w:rPr>
          <w:b/>
          <w:sz w:val="19"/>
        </w:rPr>
        <w:t xml:space="preserve">To close: </w:t>
      </w:r>
      <w:r>
        <w:rPr>
          <w:sz w:val="19"/>
        </w:rPr>
        <w:t>Obtain and file evidence of industry currency for both trainers covering 2025 to date, including placement records, employer confirmation and sector PD attendance. Where none exists, arrange currency activity and record it. Introduce an annual currency declaration with a diarised review date.</w:t>
      </w:r>
    </w:p>
    <w:p>
      <w:pPr>
        <w:spacing w:after="40"/>
      </w:pPr>
      <w:r>
        <w:rPr>
          <w:i/>
          <w:color w:val="595959"/>
          <w:sz w:val="18"/>
        </w:rPr>
        <w:t>Estimated effort: 2 to 3 hours administration, plus whatever currency activity is required.</w:t>
      </w:r>
    </w:p>
    <w:p>
      <w:pPr>
        <w:spacing w:before="220" w:after="40"/>
      </w:pPr>
      <w:r>
        <w:rPr>
          <w:b/>
          <w:color w:val="14283C"/>
          <w:sz w:val="22"/>
        </w:rPr>
        <w:t xml:space="preserve">F3  </w:t>
      </w:r>
      <w:r>
        <w:rPr>
          <w:b/>
          <w:color w:val="14283C"/>
          <w:sz w:val="22"/>
        </w:rPr>
        <w:t>Assessment validation for 2025 not evidenced</w:t>
      </w:r>
      <w:r>
        <w:rPr>
          <w:b/>
          <w:color w:val="C00000"/>
          <w:sz w:val="19"/>
        </w:rPr>
        <w:t xml:space="preserve">    [HIGH]</w:t>
      </w:r>
    </w:p>
    <w:p>
      <w:pPr>
        <w:spacing w:after="80"/>
      </w:pPr>
      <w:r>
        <w:rPr>
          <w:i/>
          <w:color w:val="595959"/>
          <w:sz w:val="18"/>
        </w:rPr>
        <w:t>Relates to: Validation of assessment practices</w:t>
      </w:r>
    </w:p>
    <w:p>
      <w:pPr>
        <w:spacing w:after="60"/>
        <w:ind w:left="29"/>
      </w:pPr>
      <w:r>
        <w:rPr>
          <w:b/>
          <w:sz w:val="19"/>
        </w:rPr>
        <w:t xml:space="preserve">Observed: </w:t>
      </w:r>
      <w:r>
        <w:rPr>
          <w:sz w:val="19"/>
        </w:rPr>
        <w:t>The validation schedule identifies CHC33021 units for validation in the 2025 calendar year. Minutes exist for one session in February 2025. No records were located for the remaining scheduled units, and no outcomes, actions or sign-off were produced for the session that did occur.</w:t>
      </w:r>
    </w:p>
    <w:p>
      <w:pPr>
        <w:spacing w:after="60"/>
        <w:ind w:left="29"/>
      </w:pPr>
      <w:r>
        <w:rPr>
          <w:b/>
          <w:sz w:val="19"/>
        </w:rPr>
        <w:t xml:space="preserve">Why it matters: </w:t>
      </w:r>
      <w:r>
        <w:rPr>
          <w:sz w:val="19"/>
        </w:rPr>
        <w:t>A schedule without records does not demonstrate validation occurred. The absence of documented outcomes also means any improvements identified in February cannot be shown to have been implemented.</w:t>
      </w:r>
    </w:p>
    <w:p>
      <w:pPr>
        <w:spacing w:after="60"/>
        <w:ind w:left="29"/>
      </w:pPr>
      <w:r>
        <w:rPr>
          <w:b/>
          <w:sz w:val="19"/>
        </w:rPr>
        <w:t xml:space="preserve">To close: </w:t>
      </w:r>
      <w:r>
        <w:rPr>
          <w:sz w:val="19"/>
        </w:rPr>
        <w:t>Reconstruct nothing. Run the outstanding validation sessions now, document them properly, covering participants, competency of validators, units, evidence examined, findings, and actions with owners and dates, then reset the schedule from this point forward.</w:t>
      </w:r>
    </w:p>
    <w:p>
      <w:pPr>
        <w:spacing w:after="40"/>
      </w:pPr>
      <w:r>
        <w:rPr>
          <w:i/>
          <w:color w:val="595959"/>
          <w:sz w:val="18"/>
        </w:rPr>
        <w:t>Estimated effort: One facilitated session per unit group, plus 1 hour documentation each.</w:t>
      </w:r>
    </w:p>
    <w:p>
      <w:pPr>
        <w:spacing w:before="220" w:after="40"/>
      </w:pPr>
      <w:r>
        <w:rPr>
          <w:b/>
          <w:color w:val="14283C"/>
          <w:sz w:val="22"/>
        </w:rPr>
        <w:t xml:space="preserve">F4  </w:t>
      </w:r>
      <w:r>
        <w:rPr>
          <w:b/>
          <w:color w:val="14283C"/>
          <w:sz w:val="22"/>
        </w:rPr>
        <w:t>TAS for CHC33021 describes a delivery model no longer in use</w:t>
      </w:r>
      <w:r>
        <w:rPr>
          <w:b/>
          <w:color w:val="BF8F00"/>
          <w:sz w:val="19"/>
        </w:rPr>
        <w:t xml:space="preserve">    [MEDIUM]</w:t>
      </w:r>
    </w:p>
    <w:p>
      <w:pPr>
        <w:spacing w:after="80"/>
      </w:pPr>
      <w:r>
        <w:rPr>
          <w:i/>
          <w:color w:val="595959"/>
          <w:sz w:val="18"/>
        </w:rPr>
        <w:t>Relates to: Training and assessment strategy</w:t>
      </w:r>
    </w:p>
    <w:p>
      <w:pPr>
        <w:spacing w:after="60"/>
        <w:ind w:left="29"/>
      </w:pPr>
      <w:r>
        <w:rPr>
          <w:b/>
          <w:sz w:val="19"/>
        </w:rPr>
        <w:t xml:space="preserve">Observed: </w:t>
      </w:r>
      <w:r>
        <w:rPr>
          <w:sz w:val="19"/>
        </w:rPr>
        <w:t>The current TAS describes 12 months' delivery with fortnightly face-to-face workshops. Interviews and the 2025 timetable confirm delivery moved to a blended model with monthly workshops and supported online study in July 2025. The TAS has not been amended.</w:t>
      </w:r>
    </w:p>
    <w:p>
      <w:pPr>
        <w:spacing w:after="60"/>
        <w:ind w:left="29"/>
      </w:pPr>
      <w:r>
        <w:rPr>
          <w:b/>
          <w:sz w:val="19"/>
        </w:rPr>
        <w:t xml:space="preserve">Why it matters: </w:t>
      </w:r>
      <w:r>
        <w:rPr>
          <w:sz w:val="19"/>
        </w:rPr>
        <w:t>The TAS is the document an auditor uses to understand what the RTO said it would do. Where practice and TAS diverge, every downstream document is called into question.</w:t>
      </w:r>
    </w:p>
    <w:p>
      <w:pPr>
        <w:spacing w:after="60"/>
        <w:ind w:left="29"/>
      </w:pPr>
      <w:r>
        <w:rPr>
          <w:b/>
          <w:sz w:val="19"/>
        </w:rPr>
        <w:t xml:space="preserve">To close: </w:t>
      </w:r>
      <w:r>
        <w:rPr>
          <w:sz w:val="19"/>
        </w:rPr>
        <w:t>Update the TAS to reflect actual delivery, including revised amount of training, resourcing and trainer requirements. Record the version change and the reason. Confirm the change was subject to industry consultation.</w:t>
      </w:r>
    </w:p>
    <w:p>
      <w:pPr>
        <w:spacing w:after="40"/>
      </w:pPr>
      <w:r>
        <w:rPr>
          <w:i/>
          <w:color w:val="595959"/>
          <w:sz w:val="18"/>
        </w:rPr>
        <w:t>Estimated effort: 4 to 5 hours.</w:t>
      </w:r>
    </w:p>
    <w:p>
      <w:pPr>
        <w:spacing w:before="220" w:after="40"/>
      </w:pPr>
      <w:r>
        <w:rPr>
          <w:b/>
          <w:color w:val="14283C"/>
          <w:sz w:val="22"/>
        </w:rPr>
        <w:t xml:space="preserve">F5  </w:t>
      </w:r>
      <w:r>
        <w:rPr>
          <w:b/>
          <w:color w:val="14283C"/>
          <w:sz w:val="22"/>
        </w:rPr>
        <w:t>Industry engagement evidence is present but not linked to any change</w:t>
      </w:r>
      <w:r>
        <w:rPr>
          <w:b/>
          <w:color w:val="BF8F00"/>
          <w:sz w:val="19"/>
        </w:rPr>
        <w:t xml:space="preserve">    [MEDIUM]</w:t>
      </w:r>
    </w:p>
    <w:p>
      <w:pPr>
        <w:spacing w:after="80"/>
      </w:pPr>
      <w:r>
        <w:rPr>
          <w:i/>
          <w:color w:val="595959"/>
          <w:sz w:val="18"/>
        </w:rPr>
        <w:t>Relates to: Industry engagement</w:t>
      </w:r>
    </w:p>
    <w:p>
      <w:pPr>
        <w:spacing w:after="60"/>
        <w:ind w:left="29"/>
      </w:pPr>
      <w:r>
        <w:rPr>
          <w:b/>
          <w:sz w:val="19"/>
        </w:rPr>
        <w:t xml:space="preserve">Observed: </w:t>
      </w:r>
      <w:r>
        <w:rPr>
          <w:sz w:val="19"/>
        </w:rPr>
        <w:t>The RTO holds emails and meeting notes from three aged care providers dated across 2025. None of the records show what was raised, what the RTO decided in response, or which document was subsequently amended.</w:t>
      </w:r>
    </w:p>
    <w:p>
      <w:pPr>
        <w:spacing w:after="60"/>
        <w:ind w:left="29"/>
      </w:pPr>
      <w:r>
        <w:rPr>
          <w:b/>
          <w:sz w:val="19"/>
        </w:rPr>
        <w:t xml:space="preserve">Why it matters: </w:t>
      </w:r>
      <w:r>
        <w:rPr>
          <w:sz w:val="19"/>
        </w:rPr>
        <w:t>Engagement must inform training and assessment strategies. Evidence of contact is not evidence of engagement.</w:t>
      </w:r>
    </w:p>
    <w:p>
      <w:pPr>
        <w:spacing w:after="60"/>
        <w:ind w:left="29"/>
      </w:pPr>
      <w:r>
        <w:rPr>
          <w:b/>
          <w:sz w:val="19"/>
        </w:rPr>
        <w:t xml:space="preserve">To close: </w:t>
      </w:r>
      <w:r>
        <w:rPr>
          <w:sz w:val="19"/>
        </w:rPr>
        <w:t>Introduce a one-page industry engagement record: who, when, what was raised, what changed as a result, and where. Apply it retrospectively to the three 2025 contacts where the participants can recall the substance.</w:t>
      </w:r>
    </w:p>
    <w:p>
      <w:pPr>
        <w:spacing w:after="40"/>
      </w:pPr>
      <w:r>
        <w:rPr>
          <w:i/>
          <w:color w:val="595959"/>
          <w:sz w:val="18"/>
        </w:rPr>
        <w:t>Estimated effort: 2 hours to build, 1 hour per record.</w:t>
      </w:r>
    </w:p>
    <w:p>
      <w:pPr>
        <w:spacing w:before="220" w:after="40"/>
      </w:pPr>
      <w:r>
        <w:rPr>
          <w:b/>
          <w:color w:val="14283C"/>
          <w:sz w:val="22"/>
        </w:rPr>
        <w:t xml:space="preserve">F6  </w:t>
      </w:r>
      <w:r>
        <w:rPr>
          <w:b/>
          <w:color w:val="14283C"/>
          <w:sz w:val="22"/>
        </w:rPr>
        <w:t>Student file completeness varies by intake</w:t>
      </w:r>
      <w:r>
        <w:rPr>
          <w:b/>
          <w:color w:val="BF8F00"/>
          <w:sz w:val="19"/>
        </w:rPr>
        <w:t xml:space="preserve">    [MEDIUM]</w:t>
      </w:r>
    </w:p>
    <w:p>
      <w:pPr>
        <w:spacing w:after="80"/>
      </w:pPr>
      <w:r>
        <w:rPr>
          <w:i/>
          <w:color w:val="595959"/>
          <w:sz w:val="18"/>
        </w:rPr>
        <w:t>Relates to: Student records and issuance</w:t>
      </w:r>
    </w:p>
    <w:p>
      <w:pPr>
        <w:spacing w:after="60"/>
        <w:ind w:left="29"/>
      </w:pPr>
      <w:r>
        <w:rPr>
          <w:b/>
          <w:sz w:val="19"/>
        </w:rPr>
        <w:t xml:space="preserve">Observed: </w:t>
      </w:r>
      <w:r>
        <w:rPr>
          <w:sz w:val="19"/>
        </w:rPr>
        <w:t>Of 24 sampled files, 5 are missing evidence of the pre-training review and 3 have no record of USI verification prior to certification.</w:t>
      </w:r>
    </w:p>
    <w:p>
      <w:pPr>
        <w:spacing w:after="60"/>
        <w:ind w:left="29"/>
      </w:pPr>
      <w:r>
        <w:rPr>
          <w:b/>
          <w:sz w:val="19"/>
        </w:rPr>
        <w:t xml:space="preserve">Why it matters: </w:t>
      </w:r>
      <w:r>
        <w:rPr>
          <w:sz w:val="19"/>
        </w:rPr>
        <w:t>These are routine sampling targets. Individually minor; collectively they suggest the enrolment process is dependent on who is doing it rather than on a defined procedure.</w:t>
      </w:r>
    </w:p>
    <w:p>
      <w:pPr>
        <w:spacing w:after="60"/>
        <w:ind w:left="29"/>
      </w:pPr>
      <w:r>
        <w:rPr>
          <w:b/>
          <w:sz w:val="19"/>
        </w:rPr>
        <w:t xml:space="preserve">To close: </w:t>
      </w:r>
      <w:r>
        <w:rPr>
          <w:sz w:val="19"/>
        </w:rPr>
        <w:t>Define an enrolment checklist that must be complete before a student is marked active, and audit the current active cohort against it.</w:t>
      </w:r>
    </w:p>
    <w:p>
      <w:pPr>
        <w:spacing w:after="40"/>
      </w:pPr>
      <w:r>
        <w:rPr>
          <w:i/>
          <w:color w:val="595959"/>
          <w:sz w:val="18"/>
        </w:rPr>
        <w:t>Estimated effort: 3 hours plus review of active files.</w:t>
      </w:r>
    </w:p>
    <w:p>
      <w:pPr>
        <w:spacing w:before="220" w:after="40"/>
      </w:pPr>
      <w:r>
        <w:rPr>
          <w:b/>
          <w:color w:val="14283C"/>
          <w:sz w:val="22"/>
        </w:rPr>
        <w:t xml:space="preserve">F7  </w:t>
      </w:r>
      <w:r>
        <w:rPr>
          <w:b/>
          <w:color w:val="14283C"/>
          <w:sz w:val="22"/>
        </w:rPr>
        <w:t>Reasonable adjustment applied but not documented</w:t>
      </w:r>
      <w:r>
        <w:rPr>
          <w:b/>
          <w:color w:val="BF8F00"/>
          <w:sz w:val="19"/>
        </w:rPr>
        <w:t xml:space="preserve">    [MEDIUM]</w:t>
      </w:r>
    </w:p>
    <w:p>
      <w:pPr>
        <w:spacing w:after="80"/>
      </w:pPr>
      <w:r>
        <w:rPr>
          <w:i/>
          <w:color w:val="595959"/>
          <w:sz w:val="18"/>
        </w:rPr>
        <w:t>Relates to: Assessment practice</w:t>
      </w:r>
    </w:p>
    <w:p>
      <w:pPr>
        <w:spacing w:after="60"/>
        <w:ind w:left="29"/>
      </w:pPr>
      <w:r>
        <w:rPr>
          <w:b/>
          <w:sz w:val="19"/>
        </w:rPr>
        <w:t xml:space="preserve">Observed: </w:t>
      </w:r>
      <w:r>
        <w:rPr>
          <w:sz w:val="19"/>
        </w:rPr>
        <w:t>Two files show extended timeframes and a scribe provided. Neither file records the adjustment, the rationale, or confirmation that the assessment requirements were still met.</w:t>
      </w:r>
    </w:p>
    <w:p>
      <w:pPr>
        <w:spacing w:after="60"/>
        <w:ind w:left="29"/>
      </w:pPr>
      <w:r>
        <w:rPr>
          <w:b/>
          <w:sz w:val="19"/>
        </w:rPr>
        <w:t xml:space="preserve">Why it matters: </w:t>
      </w:r>
      <w:r>
        <w:rPr>
          <w:sz w:val="19"/>
        </w:rPr>
        <w:t>Undocumented adjustment looks, on the file, indistinguishable from inconsistent assessment.</w:t>
      </w:r>
    </w:p>
    <w:p>
      <w:pPr>
        <w:spacing w:after="60"/>
        <w:ind w:left="29"/>
      </w:pPr>
      <w:r>
        <w:rPr>
          <w:b/>
          <w:sz w:val="19"/>
        </w:rPr>
        <w:t xml:space="preserve">To close: </w:t>
      </w:r>
      <w:r>
        <w:rPr>
          <w:sz w:val="19"/>
        </w:rPr>
        <w:t>Add a reasonable adjustment record to the assessment cover sheet, and brief assessors on when it must be completed.</w:t>
      </w:r>
    </w:p>
    <w:p>
      <w:pPr>
        <w:spacing w:after="40"/>
      </w:pPr>
      <w:r>
        <w:rPr>
          <w:i/>
          <w:color w:val="595959"/>
          <w:sz w:val="18"/>
        </w:rPr>
        <w:t>Estimated effort: 2 hours.</w:t>
      </w:r>
    </w:p>
    <w:p>
      <w:pPr>
        <w:spacing w:before="220" w:after="40"/>
      </w:pPr>
      <w:r>
        <w:rPr>
          <w:b/>
          <w:color w:val="14283C"/>
          <w:sz w:val="22"/>
        </w:rPr>
        <w:t xml:space="preserve">F8  </w:t>
      </w:r>
      <w:r>
        <w:rPr>
          <w:b/>
          <w:color w:val="14283C"/>
          <w:sz w:val="22"/>
        </w:rPr>
        <w:t>Assessor benchmark answers absent for two knowledge assessments</w:t>
      </w:r>
      <w:r>
        <w:rPr>
          <w:b/>
          <w:color w:val="BF8F00"/>
          <w:sz w:val="19"/>
        </w:rPr>
        <w:t xml:space="preserve">    [MEDIUM]</w:t>
      </w:r>
    </w:p>
    <w:p>
      <w:pPr>
        <w:spacing w:after="80"/>
      </w:pPr>
      <w:r>
        <w:rPr>
          <w:i/>
          <w:color w:val="595959"/>
          <w:sz w:val="18"/>
        </w:rPr>
        <w:t>Relates to: Assessment practice, reliability</w:t>
      </w:r>
    </w:p>
    <w:p>
      <w:pPr>
        <w:spacing w:after="60"/>
        <w:ind w:left="29"/>
      </w:pPr>
      <w:r>
        <w:rPr>
          <w:b/>
          <w:sz w:val="19"/>
        </w:rPr>
        <w:t xml:space="preserve">Observed: </w:t>
      </w:r>
      <w:r>
        <w:rPr>
          <w:sz w:val="19"/>
        </w:rPr>
        <w:t>Written assessments for two units provide questions but no benchmark responses or marking guidance.</w:t>
      </w:r>
    </w:p>
    <w:p>
      <w:pPr>
        <w:spacing w:after="60"/>
        <w:ind w:left="29"/>
      </w:pPr>
      <w:r>
        <w:rPr>
          <w:b/>
          <w:sz w:val="19"/>
        </w:rPr>
        <w:t xml:space="preserve">Why it matters: </w:t>
      </w:r>
      <w:r>
        <w:rPr>
          <w:sz w:val="19"/>
        </w:rPr>
        <w:t>Without benchmarks, two assessors can reasonably reach different judgements on the same response.</w:t>
      </w:r>
    </w:p>
    <w:p>
      <w:pPr>
        <w:spacing w:after="60"/>
        <w:ind w:left="29"/>
      </w:pPr>
      <w:r>
        <w:rPr>
          <w:b/>
          <w:sz w:val="19"/>
        </w:rPr>
        <w:t xml:space="preserve">To close: </w:t>
      </w:r>
      <w:r>
        <w:rPr>
          <w:sz w:val="19"/>
        </w:rPr>
        <w:t>Develop benchmark answers with acceptable-response ranges, and include them in the assessor guide.</w:t>
      </w:r>
    </w:p>
    <w:p>
      <w:pPr>
        <w:spacing w:after="40"/>
      </w:pPr>
      <w:r>
        <w:rPr>
          <w:i/>
          <w:color w:val="595959"/>
          <w:sz w:val="18"/>
        </w:rPr>
        <w:t>Estimated effort: 4 hours per unit.</w:t>
      </w:r>
    </w:p>
    <w:p>
      <w:pPr>
        <w:spacing w:before="220" w:after="40"/>
      </w:pPr>
      <w:r>
        <w:rPr>
          <w:b/>
          <w:color w:val="14283C"/>
          <w:sz w:val="22"/>
        </w:rPr>
        <w:t xml:space="preserve">F9  </w:t>
      </w:r>
      <w:r>
        <w:rPr>
          <w:b/>
          <w:color w:val="14283C"/>
          <w:sz w:val="22"/>
        </w:rPr>
        <w:t>Third-party workplace agreement expired</w:t>
      </w:r>
      <w:r>
        <w:rPr>
          <w:b/>
          <w:color w:val="BF8F00"/>
          <w:sz w:val="19"/>
        </w:rPr>
        <w:t xml:space="preserve">    [MEDIUM]</w:t>
      </w:r>
    </w:p>
    <w:p>
      <w:pPr>
        <w:spacing w:after="80"/>
      </w:pPr>
      <w:r>
        <w:rPr>
          <w:i/>
          <w:color w:val="595959"/>
          <w:sz w:val="18"/>
        </w:rPr>
        <w:t>Relates to: Third-party arrangements</w:t>
      </w:r>
    </w:p>
    <w:p>
      <w:pPr>
        <w:spacing w:after="60"/>
        <w:ind w:left="29"/>
      </w:pPr>
      <w:r>
        <w:rPr>
          <w:b/>
          <w:sz w:val="19"/>
        </w:rPr>
        <w:t xml:space="preserve">Observed: </w:t>
      </w:r>
      <w:r>
        <w:rPr>
          <w:sz w:val="19"/>
        </w:rPr>
        <w:t>The agreement with one placement provider expired in November 2025. Students continue to be placed there.</w:t>
      </w:r>
    </w:p>
    <w:p>
      <w:pPr>
        <w:spacing w:after="60"/>
        <w:ind w:left="29"/>
      </w:pPr>
      <w:r>
        <w:rPr>
          <w:b/>
          <w:sz w:val="19"/>
        </w:rPr>
        <w:t xml:space="preserve">Why it matters: </w:t>
      </w:r>
      <w:r>
        <w:rPr>
          <w:sz w:val="19"/>
        </w:rPr>
        <w:t>Placement continues to occur under an arrangement that is no longer in force.</w:t>
      </w:r>
    </w:p>
    <w:p>
      <w:pPr>
        <w:spacing w:after="60"/>
        <w:ind w:left="29"/>
      </w:pPr>
      <w:r>
        <w:rPr>
          <w:b/>
          <w:sz w:val="19"/>
        </w:rPr>
        <w:t xml:space="preserve">To close: </w:t>
      </w:r>
      <w:r>
        <w:rPr>
          <w:sz w:val="19"/>
        </w:rPr>
        <w:t>Execute a current agreement before the next placement round. Diarise renewal 60 days before expiry.</w:t>
      </w:r>
    </w:p>
    <w:p>
      <w:pPr>
        <w:spacing w:after="40"/>
      </w:pPr>
      <w:r>
        <w:rPr>
          <w:i/>
          <w:color w:val="595959"/>
          <w:sz w:val="18"/>
        </w:rPr>
        <w:t>Estimated effort: 1 to 2 hours.</w:t>
      </w:r>
    </w:p>
    <w:p>
      <w:pPr>
        <w:spacing w:before="220" w:after="40"/>
      </w:pPr>
      <w:r>
        <w:rPr>
          <w:b/>
          <w:color w:val="14283C"/>
          <w:sz w:val="22"/>
        </w:rPr>
        <w:t xml:space="preserve">F10  </w:t>
      </w:r>
      <w:r>
        <w:rPr>
          <w:b/>
          <w:color w:val="14283C"/>
          <w:sz w:val="22"/>
        </w:rPr>
        <w:t>Version control inconsistent across assessment tools</w:t>
      </w:r>
      <w:r>
        <w:rPr>
          <w:b/>
          <w:color w:val="2E7D32"/>
          <w:sz w:val="19"/>
        </w:rPr>
        <w:t xml:space="preserve">    [LOW]</w:t>
      </w:r>
    </w:p>
    <w:p>
      <w:pPr>
        <w:spacing w:after="80"/>
      </w:pPr>
      <w:r>
        <w:rPr>
          <w:i/>
          <w:color w:val="595959"/>
          <w:sz w:val="18"/>
        </w:rPr>
        <w:t>Relates to: Document control</w:t>
      </w:r>
    </w:p>
    <w:p>
      <w:pPr>
        <w:spacing w:after="60"/>
        <w:ind w:left="29"/>
      </w:pPr>
      <w:r>
        <w:rPr>
          <w:b/>
          <w:sz w:val="19"/>
        </w:rPr>
        <w:t xml:space="preserve">Observed: </w:t>
      </w:r>
      <w:r>
        <w:rPr>
          <w:sz w:val="19"/>
        </w:rPr>
        <w:t>Three of eight tools reviewed carry no version number or date. Two carry a version number that does not match the version register.</w:t>
      </w:r>
    </w:p>
    <w:p>
      <w:pPr>
        <w:spacing w:after="60"/>
        <w:ind w:left="29"/>
      </w:pPr>
      <w:r>
        <w:rPr>
          <w:b/>
          <w:sz w:val="19"/>
        </w:rPr>
        <w:t xml:space="preserve">Why it matters: </w:t>
      </w:r>
      <w:r>
        <w:rPr>
          <w:sz w:val="19"/>
        </w:rPr>
        <w:t>Makes it impossible to demonstrate which tool a given student was assessed against.</w:t>
      </w:r>
    </w:p>
    <w:p>
      <w:pPr>
        <w:spacing w:after="60"/>
        <w:ind w:left="29"/>
      </w:pPr>
      <w:r>
        <w:rPr>
          <w:b/>
          <w:sz w:val="19"/>
        </w:rPr>
        <w:t xml:space="preserve">To close: </w:t>
      </w:r>
      <w:r>
        <w:rPr>
          <w:sz w:val="19"/>
        </w:rPr>
        <w:t>Apply a consistent footer showing document name, version, date and next review, then reconcile the register.</w:t>
      </w:r>
    </w:p>
    <w:p>
      <w:pPr>
        <w:spacing w:after="40"/>
      </w:pPr>
      <w:r>
        <w:rPr>
          <w:i/>
          <w:color w:val="595959"/>
          <w:sz w:val="18"/>
        </w:rPr>
        <w:t>Estimated effort: 2 hours.</w:t>
      </w:r>
    </w:p>
    <w:p>
      <w:pPr>
        <w:spacing w:before="220" w:after="40"/>
      </w:pPr>
      <w:r>
        <w:rPr>
          <w:b/>
          <w:color w:val="14283C"/>
          <w:sz w:val="22"/>
        </w:rPr>
        <w:t xml:space="preserve">F11  </w:t>
      </w:r>
      <w:r>
        <w:rPr>
          <w:b/>
          <w:color w:val="14283C"/>
          <w:sz w:val="22"/>
        </w:rPr>
        <w:t>Marketing page implies a guaranteed employment outcome</w:t>
      </w:r>
      <w:r>
        <w:rPr>
          <w:b/>
          <w:color w:val="2E7D32"/>
          <w:sz w:val="19"/>
        </w:rPr>
        <w:t xml:space="preserve">    [LOW]</w:t>
      </w:r>
    </w:p>
    <w:p>
      <w:pPr>
        <w:spacing w:after="80"/>
      </w:pPr>
      <w:r>
        <w:rPr>
          <w:i/>
          <w:color w:val="595959"/>
          <w:sz w:val="18"/>
        </w:rPr>
        <w:t>Relates to: Marketing and advertising</w:t>
      </w:r>
    </w:p>
    <w:p>
      <w:pPr>
        <w:spacing w:after="60"/>
        <w:ind w:left="29"/>
      </w:pPr>
      <w:r>
        <w:rPr>
          <w:b/>
          <w:sz w:val="19"/>
        </w:rPr>
        <w:t xml:space="preserve">Observed: </w:t>
      </w:r>
      <w:r>
        <w:rPr>
          <w:sz w:val="19"/>
        </w:rPr>
        <w:t>The course page states graduates 'will move straight into work in aged care'.</w:t>
      </w:r>
    </w:p>
    <w:p>
      <w:pPr>
        <w:spacing w:after="60"/>
        <w:ind w:left="29"/>
      </w:pPr>
      <w:r>
        <w:rPr>
          <w:b/>
          <w:sz w:val="19"/>
        </w:rPr>
        <w:t xml:space="preserve">Why it matters: </w:t>
      </w:r>
      <w:r>
        <w:rPr>
          <w:sz w:val="19"/>
        </w:rPr>
        <w:t>Implies a guaranteed outcome the RTO cannot control.</w:t>
      </w:r>
    </w:p>
    <w:p>
      <w:pPr>
        <w:spacing w:after="60"/>
        <w:ind w:left="29"/>
      </w:pPr>
      <w:r>
        <w:rPr>
          <w:b/>
          <w:sz w:val="19"/>
        </w:rPr>
        <w:t xml:space="preserve">To close: </w:t>
      </w:r>
      <w:r>
        <w:rPr>
          <w:sz w:val="19"/>
        </w:rPr>
        <w:t>Reword to describe the roles the qualification prepares students for. Review all course pages for similar phrasing.</w:t>
      </w:r>
    </w:p>
    <w:p>
      <w:pPr>
        <w:spacing w:after="40"/>
      </w:pPr>
      <w:r>
        <w:rPr>
          <w:i/>
          <w:color w:val="595959"/>
          <w:sz w:val="18"/>
        </w:rPr>
        <w:t>Estimated effort: 1 hour.</w:t>
      </w:r>
    </w:p>
    <w:p>
      <w:pPr>
        <w:spacing w:before="220" w:after="40"/>
      </w:pPr>
      <w:r>
        <w:rPr>
          <w:b/>
          <w:color w:val="14283C"/>
          <w:sz w:val="22"/>
        </w:rPr>
        <w:t xml:space="preserve">F12  </w:t>
      </w:r>
      <w:r>
        <w:rPr>
          <w:b/>
          <w:color w:val="14283C"/>
          <w:sz w:val="22"/>
        </w:rPr>
        <w:t>Complaints register has no closure dates</w:t>
      </w:r>
      <w:r>
        <w:rPr>
          <w:b/>
          <w:color w:val="2E7D32"/>
          <w:sz w:val="19"/>
        </w:rPr>
        <w:t xml:space="preserve">    [LOW]</w:t>
      </w:r>
    </w:p>
    <w:p>
      <w:pPr>
        <w:spacing w:after="80"/>
      </w:pPr>
      <w:r>
        <w:rPr>
          <w:i/>
          <w:color w:val="595959"/>
          <w:sz w:val="18"/>
        </w:rPr>
        <w:t>Relates to: Complaints and appeals</w:t>
      </w:r>
    </w:p>
    <w:p>
      <w:pPr>
        <w:spacing w:after="60"/>
        <w:ind w:left="29"/>
      </w:pPr>
      <w:r>
        <w:rPr>
          <w:b/>
          <w:sz w:val="19"/>
        </w:rPr>
        <w:t xml:space="preserve">Observed: </w:t>
      </w:r>
      <w:r>
        <w:rPr>
          <w:sz w:val="19"/>
        </w:rPr>
        <w:t>Four complaints logged in 2025; all show a received date, none shows resolution date or outcome.</w:t>
      </w:r>
    </w:p>
    <w:p>
      <w:pPr>
        <w:spacing w:after="60"/>
        <w:ind w:left="29"/>
      </w:pPr>
      <w:r>
        <w:rPr>
          <w:b/>
          <w:sz w:val="19"/>
        </w:rPr>
        <w:t xml:space="preserve">Why it matters: </w:t>
      </w:r>
      <w:r>
        <w:rPr>
          <w:sz w:val="19"/>
        </w:rPr>
        <w:t>The RTO cannot demonstrate complaints were resolved within its own published timeframes.</w:t>
      </w:r>
    </w:p>
    <w:p>
      <w:pPr>
        <w:spacing w:after="60"/>
        <w:ind w:left="29"/>
      </w:pPr>
      <w:r>
        <w:rPr>
          <w:b/>
          <w:sz w:val="19"/>
        </w:rPr>
        <w:t xml:space="preserve">To close: </w:t>
      </w:r>
      <w:r>
        <w:rPr>
          <w:sz w:val="19"/>
        </w:rPr>
        <w:t>Add outcome and closure date columns, and complete retrospectively where the outcome is known.</w:t>
      </w:r>
    </w:p>
    <w:p>
      <w:pPr>
        <w:spacing w:after="40"/>
      </w:pPr>
      <w:r>
        <w:rPr>
          <w:i/>
          <w:color w:val="595959"/>
          <w:sz w:val="18"/>
        </w:rPr>
        <w:t>Estimated effort: 1 hour.</w:t>
      </w:r>
    </w:p>
    <w:p>
      <w:pPr>
        <w:spacing w:before="280" w:after="100"/>
        <w:pBdr>
          <w:bottom w:val="single" w:sz="6" w:space="2" w:color="14283C"/>
        </w:pBdr>
      </w:pPr>
      <w:r>
        <w:rPr>
          <w:b/>
          <w:color w:val="14283C"/>
          <w:sz w:val="22"/>
        </w:rPr>
        <w:t>4. WHAT IS WORKING</w:t>
      </w:r>
    </w:p>
    <w:p>
      <w:pPr>
        <w:spacing w:after="100"/>
      </w:pPr>
      <w:r>
        <w:rPr>
          <w:b w:val="0"/>
          <w:i w:val="0"/>
          <w:sz w:val="20"/>
        </w:rPr>
        <w:t>It is worth recording what the review did not find, because it affects how the findings above should be read.</w:t>
      </w:r>
    </w:p>
    <w:p>
      <w:pPr>
        <w:pStyle w:val="ListBullet"/>
        <w:spacing w:after="40"/>
        <w:ind w:left="317" w:hanging="202"/>
      </w:pPr>
      <w:r>
        <w:rPr>
          <w:sz w:val="20"/>
        </w:rPr>
        <w:t>Assessment judgements in the sampled files were consistent between assessors where benchmarks existed.</w:t>
      </w:r>
    </w:p>
    <w:p>
      <w:pPr>
        <w:pStyle w:val="ListBullet"/>
        <w:spacing w:after="40"/>
        <w:ind w:left="317" w:hanging="202"/>
      </w:pPr>
      <w:r>
        <w:rPr>
          <w:sz w:val="20"/>
        </w:rPr>
        <w:t>Student support processes are well understood by trainers and were described consistently in interviews.</w:t>
      </w:r>
    </w:p>
    <w:p>
      <w:pPr>
        <w:pStyle w:val="ListBullet"/>
        <w:spacing w:after="40"/>
        <w:ind w:left="317" w:hanging="202"/>
      </w:pPr>
      <w:r>
        <w:rPr>
          <w:sz w:val="20"/>
        </w:rPr>
        <w:t>The RTO identified two of the twelve findings itself before this review and had already begun work on one.</w:t>
      </w:r>
    </w:p>
    <w:p>
      <w:pPr>
        <w:spacing w:after="100"/>
      </w:pPr>
      <w:r>
        <w:rPr>
          <w:b w:val="0"/>
          <w:i w:val="0"/>
          <w:sz w:val="20"/>
        </w:rPr>
        <w:t>None of the twelve findings indicate a training team that does not know its subject. They indicate documentation that has not kept pace with a growing cohort, which is a capacity problem, and a solvable one.</w:t>
      </w:r>
    </w:p>
    <w:p>
      <w:pPr>
        <w:spacing w:before="280" w:after="100"/>
        <w:pBdr>
          <w:bottom w:val="single" w:sz="6" w:space="2" w:color="14283C"/>
        </w:pBdr>
      </w:pPr>
      <w:r>
        <w:rPr>
          <w:b/>
          <w:color w:val="14283C"/>
          <w:sz w:val="22"/>
        </w:rPr>
        <w:t>5. PRIORITISED REMEDIATION PLAN</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4283C"/>
          </w:tcPr>
          <w:p>
            <w:r/>
            <w:r>
              <w:rPr>
                <w:b/>
                <w:color w:val="FFFFFF"/>
                <w:sz w:val="19"/>
              </w:rPr>
              <w:t>Window</w:t>
            </w:r>
          </w:p>
        </w:tc>
        <w:tc>
          <w:tcPr>
            <w:tcW w:type="dxa" w:w="2520"/>
            <w:shd w:val="clear" w:color="auto" w:fill="14283C"/>
          </w:tcPr>
          <w:p>
            <w:r/>
            <w:r>
              <w:rPr>
                <w:b/>
                <w:color w:val="FFFFFF"/>
                <w:sz w:val="19"/>
              </w:rPr>
              <w:t>Findings</w:t>
            </w:r>
          </w:p>
        </w:tc>
        <w:tc>
          <w:tcPr>
            <w:tcW w:type="dxa" w:w="2520"/>
            <w:shd w:val="clear" w:color="auto" w:fill="14283C"/>
          </w:tcPr>
          <w:p>
            <w:r/>
            <w:r>
              <w:rPr>
                <w:b/>
                <w:color w:val="FFFFFF"/>
                <w:sz w:val="19"/>
              </w:rPr>
              <w:t>Focus</w:t>
            </w:r>
          </w:p>
        </w:tc>
        <w:tc>
          <w:tcPr>
            <w:tcW w:type="dxa" w:w="2520"/>
            <w:shd w:val="clear" w:color="auto" w:fill="14283C"/>
          </w:tcPr>
          <w:p>
            <w:r/>
            <w:r>
              <w:rPr>
                <w:b/>
                <w:color w:val="FFFFFF"/>
                <w:sz w:val="19"/>
              </w:rPr>
              <w:t>Owner</w:t>
            </w:r>
          </w:p>
        </w:tc>
      </w:tr>
      <w:tr>
        <w:tc>
          <w:tcPr>
            <w:tcW w:type="dxa" w:w="2520"/>
          </w:tcPr>
          <w:p>
            <w:r/>
            <w:r>
              <w:rPr>
                <w:b/>
                <w:sz w:val="18"/>
              </w:rPr>
              <w:t>Weeks 1 and 2</w:t>
            </w:r>
          </w:p>
        </w:tc>
        <w:tc>
          <w:tcPr>
            <w:tcW w:type="dxa" w:w="2520"/>
          </w:tcPr>
          <w:p>
            <w:r/>
            <w:r>
              <w:rPr>
                <w:sz w:val="18"/>
              </w:rPr>
              <w:t>F1, F2, F3</w:t>
            </w:r>
          </w:p>
        </w:tc>
        <w:tc>
          <w:tcPr>
            <w:tcW w:type="dxa" w:w="2520"/>
          </w:tcPr>
          <w:p>
            <w:r/>
            <w:r>
              <w:rPr>
                <w:sz w:val="18"/>
              </w:rPr>
              <w:t>Close all High findings. Rebuild CHCAGE011 tool; obtain trainer currency evidence; schedule outstanding validation.</w:t>
            </w:r>
          </w:p>
        </w:tc>
        <w:tc>
          <w:tcPr>
            <w:tcW w:type="dxa" w:w="2520"/>
          </w:tcPr>
          <w:p>
            <w:r/>
            <w:r>
              <w:rPr>
                <w:sz w:val="18"/>
              </w:rPr>
              <w:t>Training Manager</w:t>
            </w:r>
          </w:p>
        </w:tc>
      </w:tr>
      <w:tr>
        <w:tc>
          <w:tcPr>
            <w:tcW w:type="dxa" w:w="2520"/>
          </w:tcPr>
          <w:p>
            <w:r/>
            <w:r>
              <w:rPr>
                <w:b/>
                <w:sz w:val="18"/>
              </w:rPr>
              <w:t>Weeks 3 and 4</w:t>
            </w:r>
          </w:p>
        </w:tc>
        <w:tc>
          <w:tcPr>
            <w:tcW w:type="dxa" w:w="2520"/>
          </w:tcPr>
          <w:p>
            <w:r/>
            <w:r>
              <w:rPr>
                <w:sz w:val="18"/>
              </w:rPr>
              <w:t>F4, F9</w:t>
            </w:r>
          </w:p>
        </w:tc>
        <w:tc>
          <w:tcPr>
            <w:tcW w:type="dxa" w:w="2520"/>
          </w:tcPr>
          <w:p>
            <w:r/>
            <w:r>
              <w:rPr>
                <w:sz w:val="18"/>
              </w:rPr>
              <w:t>Update CHC33021 TAS to actual practice. Execute current third-party agreement.</w:t>
            </w:r>
          </w:p>
        </w:tc>
        <w:tc>
          <w:tcPr>
            <w:tcW w:type="dxa" w:w="2520"/>
          </w:tcPr>
          <w:p>
            <w:r/>
            <w:r>
              <w:rPr>
                <w:sz w:val="18"/>
              </w:rPr>
              <w:t>Training Manager</w:t>
            </w:r>
          </w:p>
        </w:tc>
      </w:tr>
      <w:tr>
        <w:tc>
          <w:tcPr>
            <w:tcW w:type="dxa" w:w="2520"/>
          </w:tcPr>
          <w:p>
            <w:r/>
            <w:r>
              <w:rPr>
                <w:b/>
                <w:sz w:val="18"/>
              </w:rPr>
              <w:t>Weeks 5 and 6</w:t>
            </w:r>
          </w:p>
        </w:tc>
        <w:tc>
          <w:tcPr>
            <w:tcW w:type="dxa" w:w="2520"/>
          </w:tcPr>
          <w:p>
            <w:r/>
            <w:r>
              <w:rPr>
                <w:sz w:val="18"/>
              </w:rPr>
              <w:t>F5, F6, F7, F8</w:t>
            </w:r>
          </w:p>
        </w:tc>
        <w:tc>
          <w:tcPr>
            <w:tcW w:type="dxa" w:w="2520"/>
          </w:tcPr>
          <w:p>
            <w:r/>
            <w:r>
              <w:rPr>
                <w:sz w:val="18"/>
              </w:rPr>
              <w:t>Industry engagement record; enrolment checklist; reasonable adjustment record; benchmark answers.</w:t>
            </w:r>
          </w:p>
        </w:tc>
        <w:tc>
          <w:tcPr>
            <w:tcW w:type="dxa" w:w="2520"/>
          </w:tcPr>
          <w:p>
            <w:r/>
            <w:r>
              <w:rPr>
                <w:sz w:val="18"/>
              </w:rPr>
              <w:t>Compliance / Admin</w:t>
            </w:r>
          </w:p>
        </w:tc>
      </w:tr>
      <w:tr>
        <w:tc>
          <w:tcPr>
            <w:tcW w:type="dxa" w:w="2520"/>
          </w:tcPr>
          <w:p>
            <w:r/>
            <w:r>
              <w:rPr>
                <w:b/>
                <w:sz w:val="18"/>
              </w:rPr>
              <w:t>Weeks 7 and 8</w:t>
            </w:r>
          </w:p>
        </w:tc>
        <w:tc>
          <w:tcPr>
            <w:tcW w:type="dxa" w:w="2520"/>
          </w:tcPr>
          <w:p>
            <w:r/>
            <w:r>
              <w:rPr>
                <w:sz w:val="18"/>
              </w:rPr>
              <w:t>F10, F11, F12</w:t>
            </w:r>
          </w:p>
        </w:tc>
        <w:tc>
          <w:tcPr>
            <w:tcW w:type="dxa" w:w="2520"/>
          </w:tcPr>
          <w:p>
            <w:r/>
            <w:r>
              <w:rPr>
                <w:sz w:val="18"/>
              </w:rPr>
              <w:t>Version control sweep; marketing review; complaints register.</w:t>
            </w:r>
          </w:p>
        </w:tc>
        <w:tc>
          <w:tcPr>
            <w:tcW w:type="dxa" w:w="2520"/>
          </w:tcPr>
          <w:p>
            <w:r/>
            <w:r>
              <w:rPr>
                <w:sz w:val="18"/>
              </w:rPr>
              <w:t>Admin</w:t>
            </w:r>
          </w:p>
        </w:tc>
      </w:tr>
      <w:tr>
        <w:tc>
          <w:tcPr>
            <w:tcW w:type="dxa" w:w="2520"/>
          </w:tcPr>
          <w:p>
            <w:r/>
            <w:r>
              <w:rPr>
                <w:b/>
                <w:sz w:val="18"/>
              </w:rPr>
              <w:t>Week 9</w:t>
            </w:r>
          </w:p>
        </w:tc>
        <w:tc>
          <w:tcPr>
            <w:tcW w:type="dxa" w:w="2520"/>
          </w:tcPr>
          <w:p>
            <w:r>
              <w:t>All</w:t>
            </w:r>
            <w:r>
              <w:rPr>
                <w:sz w:val="18"/>
              </w:rPr>
            </w:r>
          </w:p>
        </w:tc>
        <w:tc>
          <w:tcPr>
            <w:tcW w:type="dxa" w:w="2520"/>
          </w:tcPr>
          <w:p>
            <w:r/>
            <w:r>
              <w:rPr>
                <w:sz w:val="18"/>
              </w:rPr>
              <w:t>Verification check. Confirm each finding is closed and evidenced.</w:t>
            </w:r>
          </w:p>
        </w:tc>
        <w:tc>
          <w:tcPr>
            <w:tcW w:type="dxa" w:w="2520"/>
          </w:tcPr>
          <w:p>
            <w:r/>
            <w:r>
              <w:rPr>
                <w:sz w:val="18"/>
              </w:rPr>
              <w:t>SkillsAlign</w:t>
            </w:r>
          </w:p>
        </w:tc>
      </w:tr>
    </w:tbl>
    <w:p>
      <w:pPr>
        <w:spacing w:before="280" w:after="100"/>
        <w:pBdr>
          <w:bottom w:val="single" w:sz="6" w:space="2" w:color="14283C"/>
        </w:pBdr>
      </w:pPr>
      <w:r>
        <w:rPr>
          <w:b/>
          <w:color w:val="14283C"/>
          <w:sz w:val="22"/>
        </w:rPr>
        <w:t>6. SCOPE, METHOD AND LIMITATIONS</w:t>
      </w:r>
    </w:p>
    <w:p>
      <w:pPr>
        <w:pStyle w:val="ListBullet"/>
        <w:spacing w:after="40"/>
        <w:ind w:left="317" w:hanging="202"/>
      </w:pPr>
      <w:r>
        <w:rPr>
          <w:sz w:val="20"/>
        </w:rPr>
        <w:t>This review was conducted by document examination, file sampling and interview. It is not an audit and carries no regulatory status.</w:t>
      </w:r>
    </w:p>
    <w:p>
      <w:pPr>
        <w:pStyle w:val="ListBullet"/>
        <w:spacing w:after="40"/>
        <w:ind w:left="317" w:hanging="202"/>
      </w:pPr>
      <w:r>
        <w:rPr>
          <w:sz w:val="20"/>
        </w:rPr>
        <w:t>Findings are based on a sample of 24 student files across two qualifications. Issues may exist in files not sampled.</w:t>
      </w:r>
    </w:p>
    <w:p>
      <w:pPr>
        <w:pStyle w:val="ListBullet"/>
        <w:spacing w:after="40"/>
        <w:ind w:left="317" w:hanging="202"/>
      </w:pPr>
      <w:r>
        <w:rPr>
          <w:sz w:val="20"/>
        </w:rPr>
        <w:t>Risk ratings are professional judgement about likelihood and consequence. They are not a prediction of any regulatory decision or outcome.</w:t>
      </w:r>
    </w:p>
    <w:p>
      <w:pPr>
        <w:pStyle w:val="ListBullet"/>
        <w:spacing w:after="40"/>
        <w:ind w:left="317" w:hanging="202"/>
      </w:pPr>
      <w:r>
        <w:rPr>
          <w:sz w:val="20"/>
        </w:rPr>
        <w:t>No opinion is offered on the validity of qualifications already issued. Where F1 raises that question, it is flagged for the RTO to consider with its own advice.</w:t>
      </w:r>
    </w:p>
    <w:p>
      <w:pPr>
        <w:pStyle w:val="ListBullet"/>
        <w:spacing w:after="40"/>
        <w:ind w:left="317" w:hanging="202"/>
      </w:pPr>
      <w:r>
        <w:rPr>
          <w:sz w:val="20"/>
        </w:rPr>
        <w:t>This report was prepared for the named client and should not be relied on by any other party.</w:t>
      </w:r>
    </w:p>
    <w:p>
      <w:pPr>
        <w:spacing w:before="320"/>
        <w:pBdr>
          <w:bottom w:val="single" w:sz="6" w:space="2" w:color="BFBFBF"/>
        </w:pBdr>
      </w:pPr>
    </w:p>
    <w:p>
      <w:pPr>
        <w:spacing w:after="40"/>
      </w:pPr>
      <w:r>
        <w:rPr>
          <w:b w:val="0"/>
          <w:i w:val="0"/>
          <w:color w:val="595959"/>
          <w:sz w:val="18"/>
        </w:rPr>
        <w:t>SkillsAlign Consulting · ABN 18 851 604 962 · Melbourne, Victoria</w:t>
      </w:r>
    </w:p>
    <w:p>
      <w:pPr>
        <w:spacing w:after="40"/>
      </w:pPr>
      <w:r>
        <w:rPr>
          <w:b w:val="0"/>
          <w:i w:val="0"/>
          <w:color w:val="595959"/>
          <w:sz w:val="18"/>
        </w:rPr>
        <w:t>info@skillsalign.com.au · skillsalign.com.au</w:t>
      </w:r>
    </w:p>
    <w:p>
      <w:pPr>
        <w:spacing w:after="100"/>
      </w:pPr>
      <w:r>
        <w:rPr>
          <w:b w:val="0"/>
          <w:i/>
          <w:color w:val="595959"/>
          <w:sz w:val="18"/>
        </w:rPr>
        <w:t>SAMPLE DOCUMENT. Fictional RTO, fictional findings. Prepared to illustrate report format and depth.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